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5B4C4" w14:textId="77777777" w:rsidR="000943A8" w:rsidRDefault="00F41B04">
      <w:pPr>
        <w:pStyle w:val="Parahead"/>
        <w:rPr>
          <w:rFonts w:ascii="Arial" w:hAnsi="Arial"/>
        </w:rPr>
      </w:pPr>
      <w:r>
        <w:rPr>
          <w:rFonts w:ascii="Arial" w:hAnsi="Arial"/>
        </w:rPr>
        <w:t>P</w:t>
      </w:r>
      <w:r w:rsidR="000943A8">
        <w:rPr>
          <w:rFonts w:ascii="Arial" w:hAnsi="Arial"/>
        </w:rPr>
        <w:t xml:space="preserve">resentation </w:t>
      </w:r>
      <w:r>
        <w:rPr>
          <w:rFonts w:ascii="Arial" w:hAnsi="Arial"/>
        </w:rPr>
        <w:t xml:space="preserve">B </w:t>
      </w:r>
      <w:r w:rsidR="000943A8">
        <w:rPr>
          <w:rFonts w:ascii="Arial" w:hAnsi="Arial"/>
        </w:rPr>
        <w:t>on hepatic effects of Drug X</w:t>
      </w:r>
    </w:p>
    <w:p w14:paraId="5A25B4C5" w14:textId="77777777" w:rsidR="000943A8" w:rsidRDefault="000943A8">
      <w:pPr>
        <w:pStyle w:val="Para"/>
      </w:pPr>
      <w:r>
        <w:t xml:space="preserve">The following describes some of the findings from the preclinical studies and some of the hepatic effects of Drug X.  Hepatic events in Phase I studies and Phase III studies are discussed, together with an analysis of laboratory data and a brief discussion of some of the serious adverse events that were observed.  </w:t>
      </w:r>
    </w:p>
    <w:p w14:paraId="5A25B4C6" w14:textId="77777777" w:rsidR="000943A8" w:rsidRDefault="000943A8">
      <w:pPr>
        <w:pStyle w:val="Para"/>
      </w:pPr>
      <w:r>
        <w:t>In preclinical studies, hepatotoxicity was seen in rats, dogs and monkeys and this hepatotoxicity was manifested as increases in the liver enzymes AST (aspartate aminotransferase) and ALT (alanine aminotransferase).  Hepatic necrosis was seen in a 4</w:t>
      </w:r>
      <w:r>
        <w:noBreakHyphen/>
        <w:t xml:space="preserve">week rat study and hepatocellular hypertrophy and multi-nucleated hepatocytes were seen in some but not all of the preclinical animal studies.  The </w:t>
      </w:r>
      <w:r w:rsidR="002D1F25">
        <w:t>E</w:t>
      </w:r>
      <w:r>
        <w:t xml:space="preserve">ffects seen with Drug X </w:t>
      </w:r>
      <w:r w:rsidR="002D1F25">
        <w:t xml:space="preserve">were compared </w:t>
      </w:r>
      <w:r>
        <w:t xml:space="preserve">with </w:t>
      </w:r>
      <w:r w:rsidR="002D1F25">
        <w:t>those</w:t>
      </w:r>
      <w:r>
        <w:t xml:space="preserve"> of clarithromycin; the conclusion was that the hepatic effects of Drug X were more than what was experienced with clarithromycin.</w:t>
      </w:r>
    </w:p>
    <w:p w14:paraId="5A25B4C7" w14:textId="77777777" w:rsidR="000943A8" w:rsidRDefault="000943A8">
      <w:pPr>
        <w:pStyle w:val="Para"/>
      </w:pPr>
      <w:r>
        <w:t>With regards to hepatic adverse events in single dose Phase I studies in humans there was a clustering of events at the 2000 mg dose (3/16 subjects, 19%).  At higher doses, there was somewhat of a fall</w:t>
      </w:r>
      <w:r>
        <w:noBreakHyphen/>
        <w:t>off (1/24 subjects [4%] at 3200 mg).  In the multiple dose studies, events were infrequent.  In a Phase I study, which included 8 elderly subjects who received single doses of 1200 mg, 1600 mg and 2000 mg, there were three patients who achieved increases in ALT and AST with levels ranging from approximately 100 to 300 U/L.  The first patient was a 72-year-old female, who seven days after receiving a 2000 mg dose of Drug X demonstrated an increase in her ALT and AST; as part of the serologic evaluation for etiologies of hepatitis this patient also had a positive result for cytomegalovirus</w:t>
      </w:r>
      <w:r>
        <w:noBreakHyphen/>
        <w:t>IgM. The second patient was a 69-year-old male who 17 days after receiving the 2000 mg dose of Drug X experienced increases in his ALT and AST.  The third patient was a 62</w:t>
      </w:r>
      <w:r>
        <w:noBreakHyphen/>
        <w:t>year</w:t>
      </w:r>
      <w:r>
        <w:noBreakHyphen/>
        <w:t>old male who seven days after receiving a placebo (and 14 days after 2000 mg dose of Drug X), experienced increases in his ALT and AST; as part of the serologic evaluation for etiologies of hepatitis this patient had a positive result for Epstein Barr Virus</w:t>
      </w:r>
      <w:r>
        <w:noBreakHyphen/>
        <w:t xml:space="preserve">IgM.  The viral serologies do not provide definitive evidence of diagnosis of a viral etiology and this could therefore represent a possible drug effect.  In such a situation, the drug effect would have a 7- to 17-day latency period given the chronology of events here. </w:t>
      </w:r>
    </w:p>
    <w:p w14:paraId="5A25B4C8" w14:textId="77777777" w:rsidR="000943A8" w:rsidRDefault="000943A8">
      <w:pPr>
        <w:pStyle w:val="Para"/>
      </w:pPr>
      <w:r>
        <w:t>In Phase III studies, the hepatic adverse event rates were similar for both Drug X (800 mg once daily) and comparators.  The rates for treatment discontinuation were similar for Drug X and comparators.  With regards to serious hepatic adverse events, from the comparative studies, there were two Drug X</w:t>
      </w:r>
      <w:r>
        <w:noBreakHyphen/>
        <w:t>treated patients and one comparator-treated patient who experienced a serious hepatic adverse event.  In the non-comparative studies there was one additional Drug X</w:t>
      </w:r>
      <w:r>
        <w:noBreakHyphen/>
        <w:t xml:space="preserve">treated patient who experienced a serious hepatic adverse event.  There were no deaths that were attributed to drug induced hepatic injury.  </w:t>
      </w:r>
    </w:p>
    <w:p w14:paraId="5A25B4C9" w14:textId="77777777" w:rsidR="000943A8" w:rsidRDefault="000943A8">
      <w:pPr>
        <w:pStyle w:val="Para"/>
      </w:pPr>
      <w:r>
        <w:t>Laboratory evaluations were carried out in the Phase III studies and the focus will be on evaluations from the comparative studies in patients who were normal at baseline for AST, ALT and total bilirubin.  Data will only be presented from the CAP (community</w:t>
      </w:r>
      <w:r>
        <w:noBreakHyphen/>
        <w:t>acquired pneumonia) studies.</w:t>
      </w:r>
    </w:p>
    <w:p w14:paraId="5A25B4CA" w14:textId="77777777" w:rsidR="000943A8" w:rsidRDefault="000943A8">
      <w:pPr>
        <w:pStyle w:val="Para"/>
      </w:pPr>
      <w:r>
        <w:t xml:space="preserve">In the CAP studies, there were more AST and ALT elevations at the on therapy and post-therapy visits in the Drug X arm.  For these corresponding time points in the non-CAP studies, Drug X and comparator were similar. </w:t>
      </w:r>
    </w:p>
    <w:p w14:paraId="5A25B4CB" w14:textId="77777777" w:rsidR="000943A8" w:rsidRDefault="000943A8">
      <w:pPr>
        <w:pStyle w:val="Para"/>
      </w:pPr>
      <w:r>
        <w:t xml:space="preserve">At on-therapy (Days 2 to 5), for levels of AST elevation between 1x and </w:t>
      </w:r>
      <w:r>
        <w:sym w:font="Symbol" w:char="F0A3"/>
      </w:r>
      <w:r>
        <w:t xml:space="preserve">2x the upper limit of normal (ULN) there was a slightly greater proportion of elevations in the Drug X-treated patients </w:t>
      </w:r>
      <w:r>
        <w:lastRenderedPageBreak/>
        <w:t>(33/320, 10% vs. 18/314, 6%).  At the post-therapy visit (Days 17 to 21), 6% (18/296) of Drug X</w:t>
      </w:r>
      <w:r>
        <w:noBreakHyphen/>
        <w:t>treated patients achieved this level, whereas 2% (6/293) of comparator-treated patients achieved this level.  For ALT at on-therapy, there were 11% (35/320) of Drug X-treated patients achieving this level of elevation and 9% (28/314) of comparator-treated patients achieving this level of elevation. For ALT at post-therapy, there were 12% (36/296) of the Drug X-treated patients achieving that level and 9% (27/293) of comparator-treated patients achieving that level.</w:t>
      </w:r>
    </w:p>
    <w:p w14:paraId="5A25B4CC" w14:textId="77777777" w:rsidR="000943A8" w:rsidRDefault="000943A8">
      <w:pPr>
        <w:pStyle w:val="Para"/>
      </w:pPr>
      <w:r>
        <w:t xml:space="preserve">For combined laboratory abnormalities of either ALT and total bilirubin or AST and total bilirubin, we have the number of patients achieving elevations between 1x and </w:t>
      </w:r>
      <w:r>
        <w:sym w:font="Symbol" w:char="F0A3"/>
      </w:r>
      <w:r>
        <w:t>2x the upper limit of normal (ULN) for the Drug X</w:t>
      </w:r>
      <w:r>
        <w:noBreakHyphen/>
        <w:t>treated patients and comparator</w:t>
      </w:r>
      <w:r>
        <w:noBreakHyphen/>
        <w:t>treated patients.  In this analysis, data for Drug X includes patients both from the comparative and the non-comparative studies.  For Drug X, there were five events for ALT and total bilirubin, one for AST and total bilirubin. There were no events for the comparator-treated patients.</w:t>
      </w:r>
    </w:p>
    <w:p w14:paraId="5A25B4CD" w14:textId="77777777" w:rsidR="000943A8" w:rsidRDefault="000943A8">
      <w:pPr>
        <w:pStyle w:val="Para"/>
      </w:pPr>
      <w:r>
        <w:t xml:space="preserve">With regards to combined abnormalities, the late Dr. Hy Zimmerman in his book, "Hepatotoxicity", stated that drug-induced hepatocellular injury with overt jaundice is associated with a mortality of at least 10%.  This phrase has come to be known as Hy's law within the agency and as a surrogate for this, within NDA databases, we often look at AST or ALT &gt; 3x ULN combined with a total bilirubin &gt;1.5x ULN.  No patients met this criterion strictly.  However, there are some patients in the Drug X treatment arm that I'd like to comment on.  The first is a patient who has an ALT elevation of 19x ULN and a total bilirubin of 1.55x ULN based on local laboratory data.  This patient also had a slightly elevated ALT of 81 U/L (ULN = 49 U/L) at baseline. There were two other Drug X patients who didn't quite achieve the level of elevation of 3x and 1.5x ULN but were close.  One of these two patients also had a mild increase in alkaline phosphatase.  </w:t>
      </w:r>
    </w:p>
    <w:p w14:paraId="5A25B4CE" w14:textId="77777777" w:rsidR="000943A8" w:rsidRDefault="000943A8">
      <w:pPr>
        <w:pStyle w:val="Para"/>
      </w:pPr>
      <w:r>
        <w:t>I would now like to describe the cases of serious hepatic adverse events that occurred during the NDA.  One of the reasons that I'm spending some time going over these cases and describing them in some detail is that within the NDA studies, the safety databases are not really powered to find infrequent occurring events so I think going through these cases may provide us some insights.</w:t>
      </w:r>
    </w:p>
    <w:p w14:paraId="5A25B4CF" w14:textId="77777777" w:rsidR="000943A8" w:rsidRDefault="000943A8">
      <w:pPr>
        <w:pStyle w:val="Para"/>
      </w:pPr>
      <w:r>
        <w:t>The first serious adverse event is for a comparator-treated patient.  This patient was a 61</w:t>
      </w:r>
      <w:r>
        <w:noBreakHyphen/>
        <w:t>year</w:t>
      </w:r>
      <w:r>
        <w:noBreakHyphen/>
        <w:t xml:space="preserve">old male with CAP, a history of congestive heart failure and alcoholism who was maintained on digoxin.  He was treated with clarithromycin, 500 mg po BID for 10 days.  He was noted to be jaundiced on Day 17 and as part of his evaluation had a CT scan and an ultra-sound examination that showed changes consistent with a disseminated neoplasm thought to be of either hepatic or renal origin. His peak total bilirubin and alkaline phosphatase were both approximately 5x ULN.  His AST and ALT were normal. </w:t>
      </w:r>
    </w:p>
    <w:p w14:paraId="5A25B4D0" w14:textId="77777777" w:rsidR="000943A8" w:rsidRDefault="000943A8">
      <w:pPr>
        <w:pStyle w:val="Para"/>
      </w:pPr>
      <w:r>
        <w:t xml:space="preserve">The first serious hepatic adverse event for Drug X was in a 76-year old female with CAP, a history of hypercholesterolemia and hyperuricemia who was maintained on Pravastatin and Allopurinol chronically.  She received treatment with Drug X, 800 mg po daily on days 1 through 6.  At the time of enrollment in the study, she had a slightly elevated AST (37 U/L).  On Day 5, AST and ALT are elevated (AST = 295, ALT = 418) and total bilirubin and alkaline phosphatase were slightly elevated.  On Day 6, the subject stopped Drug X therapy, and on Day 7 AST and ALT return towards normal and continued to do so at a subsequent visit.  </w:t>
      </w:r>
    </w:p>
    <w:p w14:paraId="5A25B4D1" w14:textId="77777777" w:rsidR="000943A8" w:rsidRDefault="000943A8">
      <w:pPr>
        <w:pStyle w:val="Para"/>
      </w:pPr>
      <w:r>
        <w:t xml:space="preserve">The second serious hepatic adverse event from the Phase III studies involved a 19-year-old male with tonsillar pharyngitis who had a positive culture for Group A Beta hemolytic streptococcus and no significant past medical history.  The patient was treated with Drug X, 800 mg daily and completed therapy on Day 5.  On the evening of Day 12, there was a history of heavy alcohol consumption and </w:t>
      </w:r>
      <w:r>
        <w:lastRenderedPageBreak/>
        <w:t>on Day 13, there was an increase in AST and ALT with subsequent resolution over the next few visits.</w:t>
      </w:r>
    </w:p>
    <w:p w14:paraId="5A25B4D2" w14:textId="77777777" w:rsidR="000943A8" w:rsidRDefault="000943A8">
      <w:pPr>
        <w:pStyle w:val="Para"/>
      </w:pPr>
      <w:r>
        <w:t xml:space="preserve">The third Drug X case was in a 53-year-old male in </w:t>
      </w:r>
      <w:smartTag w:uri="urn:schemas-microsoft-com:office:smarttags" w:element="country-region">
        <w:smartTag w:uri="urn:schemas-microsoft-com:office:smarttags" w:element="place">
          <w:r>
            <w:t>Finland</w:t>
          </w:r>
        </w:smartTag>
      </w:smartTag>
      <w:r>
        <w:t xml:space="preserve"> with CAP, who had a history of asthma and diabetes mellitus and who was maintained on inhaled salbutamol, fluticasone, Atrovent, Nasonex and oral calcium.  The patient was treated with Drug X 800 mg daily from Days 1 through 10 and then on Day 14 he developed an illness that included fever, vomiting and diarrhea. There was a history of acetaminophen intake that began on Day 13 (described as 6 x 500 mg tablets of Tylenol over one week).  This was an illness that was similar to an illness that other members of his family were experiencing at the same time.  The difference in the patient's illness was that his fever persisted.</w:t>
      </w:r>
    </w:p>
    <w:p w14:paraId="5A25B4D3" w14:textId="77777777" w:rsidR="000943A8" w:rsidRDefault="000943A8">
      <w:pPr>
        <w:pStyle w:val="Para"/>
      </w:pPr>
      <w:r>
        <w:t>On Day 1, the patient had a mild increase in ALT of 81 (ULN = 49 U/L) and eosinophil count of 774 (ULN = 500 cells/µL).  The patient received Drug X from Day 1 through 10 and then returned on Day 21 for a follow-up evaluation after he had this febrile illness with persisting fever: ALT was 354 and eosinophil count had increased to 960.  On day 24, his ALT achieved a maximum for the course of this particular episode of hepatitis of 1529 and on Day 35, ALT was down to 518 although a maximum eosinophil count of 2856 was attained during this episode.  As part of the patient's evaluation for his episode of hepatitis, the patient had serologies for Hepatitis A, B and C that were negative.  He had a liver biopsy on Day 29 which is described below.  The patient's ALT had normalized after three months.</w:t>
      </w:r>
    </w:p>
    <w:p w14:paraId="5A25B4D4" w14:textId="77777777" w:rsidR="000943A8" w:rsidRDefault="000943A8">
      <w:pPr>
        <w:pStyle w:val="Para"/>
      </w:pPr>
      <w:r>
        <w:t>The patient was noted to have a second event of hepatitis approximately eight months after the first event at a routine follow-up. His ALT value was 1331, eosinophilia was not present, and anti-smooth muscle antibody titers were positive 1:1000.  The patient was also noted to have an elevated IgG and IgA. A second liver biopsy was also obtained for this second episode.</w:t>
      </w:r>
    </w:p>
    <w:p w14:paraId="5A25B4D5" w14:textId="77777777" w:rsidR="000943A8" w:rsidRDefault="000943A8">
      <w:pPr>
        <w:pStyle w:val="Para"/>
      </w:pPr>
      <w:r>
        <w:t>Liver biopsy is not usually done in somebody in whom you strongly suspect drug-induced liver disease.  If a patient is on a drug, develops liver test abnormalities, and you stop the drug and the test abnormalities go away, then a liver biopsy is not indicated. Liver biopsies are done when there's a confusing clinical situation or when the diagnosis of drug-induced liver disease is not entertained.  For drug-induced liver disease, we're not talking about intrinsic toxicity, but an idiosyncratic reaction.</w:t>
      </w:r>
    </w:p>
    <w:p w14:paraId="5A25B4D6" w14:textId="77777777" w:rsidR="000943A8" w:rsidRDefault="000943A8">
      <w:pPr>
        <w:pStyle w:val="Para"/>
      </w:pPr>
      <w:r>
        <w:t xml:space="preserve">Anything that can happen in any naturally occurring liver disease can also happen in drug-induced liver disease. There may be acute or chronic injury.  The acute injury can take the form of hepatocellular injury, a cholestatic injury, a mixture of the two, or some sort of vascular injury.  A chronic injury can be a chronic hepatocellular injury; that is it can be a chronic hepatitis, chronic cholestasis, fibrosis or cirrhosis, a vascular injury, or </w:t>
      </w:r>
      <w:proofErr w:type="spellStart"/>
      <w:r>
        <w:t>tumours</w:t>
      </w:r>
      <w:proofErr w:type="spellEnd"/>
      <w:r>
        <w:t>.  In other words, the drugs can mimic absolutely anything.</w:t>
      </w:r>
    </w:p>
    <w:p w14:paraId="5A25B4D7" w14:textId="77777777" w:rsidR="000943A8" w:rsidRDefault="000943A8">
      <w:pPr>
        <w:pStyle w:val="Para"/>
      </w:pPr>
      <w:r>
        <w:t xml:space="preserve">To give some examples from the area of antibiotics; tetracyclines typically cause </w:t>
      </w:r>
      <w:proofErr w:type="spellStart"/>
      <w:r>
        <w:t>microvesicular</w:t>
      </w:r>
      <w:proofErr w:type="spellEnd"/>
      <w:r>
        <w:t xml:space="preserve"> fat in a dose-related intrinsic toxic injury, but can sometimes cause chronic cholestasis and chronic hepatitis, particularly with minocycline.  One of the principles of recognizing drug-induced injury is that the same drugs tend to do the same thing over again.  Amoxicillin/clavulanic acid typically causes cholestatic injury or it can be combined with hepatocellular injury, or sometimes granulomas.  It has been estimated that about one in every 3000 individuals who take nitrofurantoin will develop liver injury; the injury can take the form of acute hepatitis, acute hepatocellular injury, chronic injury or cholestatic injury.</w:t>
      </w:r>
    </w:p>
    <w:p w14:paraId="5A25B4D8" w14:textId="77777777" w:rsidR="000943A8" w:rsidRDefault="000943A8">
      <w:pPr>
        <w:pStyle w:val="Para"/>
      </w:pPr>
      <w:r>
        <w:lastRenderedPageBreak/>
        <w:t>The question arises about when one should suspect that a drug might have been the cause of injury and one answer is easy: we always suspect it since drugs can mimic anything that can happen in the liver.  If there is not an obvious other cause, then always inquire about what drugs the patient was taking.  We are especially suspicious of a drug-induced injury when there's some sort of atypical pattern, that is, something that's not usually seen in the usual range of liver diseases, e.g., combined hepatocellular and cholestatic injury.</w:t>
      </w:r>
    </w:p>
    <w:p w14:paraId="5A25B4D9" w14:textId="77777777" w:rsidR="000943A8" w:rsidRDefault="000943A8">
      <w:pPr>
        <w:pStyle w:val="Para"/>
      </w:pPr>
      <w:r>
        <w:t>In the normal liver, the area around the central vein has blood with the least oxygen and the least nutrients, so it's most susceptible to several types of injury.  The area around the central vein is also where the cytochrome P450 enzymes are localized, so toxic injury often has its greatest effect in the central lobular area.  Bile is secreted and flows in the opposite direction to the blood, and exits through the bile ducts.  Bile flow is an energy-dependent process so when there's a cholestatic injury, it also shows up first in the area around the central vein so we always pay close attention to the central lobular areas.</w:t>
      </w:r>
    </w:p>
    <w:p w14:paraId="5A25B4DA" w14:textId="77777777" w:rsidR="000943A8" w:rsidRDefault="000943A8">
      <w:pPr>
        <w:pStyle w:val="Para"/>
      </w:pPr>
      <w:r>
        <w:t xml:space="preserve">In an example of a liver biopsy from a patient who developed injury after halothane </w:t>
      </w:r>
      <w:proofErr w:type="spellStart"/>
      <w:r>
        <w:t>anaesthesia</w:t>
      </w:r>
      <w:proofErr w:type="spellEnd"/>
      <w:r>
        <w:t xml:space="preserve">, we have severe necrosis of the liver cells, particularly concentrated in the areas around the central veins.  This is zonal necrosis, and when this is observed, we always suspect a drug.  In a biopsy from a patient who had been taking trimethoprim </w:t>
      </w:r>
      <w:proofErr w:type="spellStart"/>
      <w:r>
        <w:t>sulphamethoxazole</w:t>
      </w:r>
      <w:proofErr w:type="spellEnd"/>
      <w:r>
        <w:t>, there was spotty necrosis, hepatitis within the parenchyma, and a granuloma in the portal area with a number of eosinophils.  Granulomatous disease along with eosinophils strongly suggests a drug.  In a biopsy from a patient taking amoxicillin/clavulanic acid, there was a cholestatic injury with lots of bile in the area around the central vein, spotty necrosis of liver cells, inflammatory cells within the parenchyma, and inflammation in the portal area.</w:t>
      </w:r>
    </w:p>
    <w:p w14:paraId="5A25B4DB" w14:textId="77777777" w:rsidR="000943A8" w:rsidRDefault="000943A8">
      <w:pPr>
        <w:pStyle w:val="Para"/>
      </w:pPr>
      <w:r>
        <w:t>Is the case of the patient taking Drug X reminiscent of what was seen with trovafloxacin?  In a picture from the internet showing trovafloxacin-induced liver injury, there is an area of necrosis and loss of liver cells surrounding the central vein, and a lot of inflammatory cells, including eosinophils.  In a biopsy from another patient on trovafloxacin the central areas have confluent necrosis and collapse, a lot of inflammatory cells, some granulomatous inflammation, histiocytes, many eosinophils, and a lot of plasma cells.</w:t>
      </w:r>
    </w:p>
    <w:p w14:paraId="5A25B4DC" w14:textId="77777777" w:rsidR="000943A8" w:rsidRDefault="000943A8">
      <w:pPr>
        <w:pStyle w:val="Para"/>
      </w:pPr>
      <w:r>
        <w:t>In the first liver biopsy from the Finnish patient who developed the injury after stopping trovafloxacin – I'm sorry, after stopping Drug X – and then had his biopsy at about the time that his eosinophil count was peaking, it is reminiscent of the trovafloxacin case because there is a lot of confluent necrosis in the central areas.  There is also a lot of spotty necrosis throughout the biopsy, lots of inflammatory cells, histiocytes and eosinophils.  Now this is very unusual.  I'm not aware of any non</w:t>
      </w:r>
      <w:r>
        <w:noBreakHyphen/>
        <w:t>drug related naturally occurring liver disease that really looks like this.  The case does not look like autoimmune hepatitis or viral hepatitis, so with the history that the patient was taking a new drug that hasn't been recognized as the cause of liver injury, and then seeing this soon afterwards, I would say that this is almost certainly drug-induced, despite the fact the patient had abnormal liver enzymes before he took the drug. A connective tissue stain revealed a little bit of fibrosis around some of the portal areas so if the patient had an underlying chronic liver disease it must have been extremely mild.</w:t>
      </w:r>
    </w:p>
    <w:p w14:paraId="5A25B4DD" w14:textId="77777777" w:rsidR="000943A8" w:rsidRDefault="000943A8">
      <w:pPr>
        <w:pStyle w:val="Para"/>
      </w:pPr>
      <w:r>
        <w:t xml:space="preserve">In the second biopsy (nine months later) there is a lot of fibrosis and it seems the patient has pretty significant chronic liver disease at this stage.  Most of the fibrosis is in the central lobular areas, which is the same areas that were injured and had the eosinophils nine months earlier: that is very unusual.  Looking at the history it appears that this ought to have been autoimmune hepatitis, but it's not quite typical of autoimmune hepatitis because of the location of the injury.  </w:t>
      </w:r>
    </w:p>
    <w:p w14:paraId="5A25B4DE" w14:textId="77777777" w:rsidR="000943A8" w:rsidRDefault="000943A8">
      <w:pPr>
        <w:pStyle w:val="Para"/>
      </w:pPr>
      <w:r>
        <w:lastRenderedPageBreak/>
        <w:t>This case is really unique in my experience.  I'm not aware of any really well documented case of autoimmune hepatitis that have followed a drug-induced injury, but this I suppose could be the first one.  Overall, the first liver biopsy certainly looks like drug-induced liver disease.  The second one, I have to admit, I'm not really sure what exactly is going on there.</w:t>
      </w:r>
    </w:p>
    <w:p w14:paraId="5A25B4DF" w14:textId="77777777" w:rsidR="000943A8" w:rsidRDefault="000943A8">
      <w:pPr>
        <w:pStyle w:val="Para"/>
      </w:pPr>
      <w:r>
        <w:t>In summary, with regards to the hepatic effects, as seen in the preclinical studies, there was hepatotoxicity in dogs, rats, and monkeys.  In Phase I studies, there was a clustering of hepatic adverse events at the 2000 mg dose.  There was no clear dose response for hepatic adverse events in Phase I.  In Phase III studies, there were similar adverse events rates for Drug X and comparators, and no apparent drug-induced hepatic deaths.  For hepatic serious adverse events from the Phase III studies, there are two cases that appear to be plausibly associated with Drug X: one of these events was a patient with central lobular necrosis and eosinophilic infiltration, who was also noted to have an elevated ALT and eosinophil count at baseline.  AST and ALT elevations were seen in Drug X-treated CAP patients who were normal at baseline; these were more common than in the comparator-treated patients.  This was not seen in the studies with patients from non-CAP studies.  Concomitant low level elevations in AST/ALT and total bilirubin occurred only in Drug X-treated patients.</w:t>
      </w:r>
    </w:p>
    <w:sectPr w:rsidR="000943A8">
      <w:headerReference w:type="default" r:id="rId7"/>
      <w:footerReference w:type="default" r:id="rId8"/>
      <w:pgSz w:w="11907" w:h="16839" w:code="9"/>
      <w:pgMar w:top="1800" w:right="1109" w:bottom="2074" w:left="1800" w:header="1152" w:footer="1555"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5B4E2" w14:textId="77777777" w:rsidR="00B9720E" w:rsidRDefault="00B9720E">
      <w:r>
        <w:separator/>
      </w:r>
    </w:p>
  </w:endnote>
  <w:endnote w:type="continuationSeparator" w:id="0">
    <w:p w14:paraId="5A25B4E3" w14:textId="77777777" w:rsidR="00B9720E" w:rsidRDefault="00B9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5B4E7" w14:textId="53E28ED5" w:rsidR="00D36E2C" w:rsidRDefault="00EF1B98">
    <w:pPr>
      <w:pStyle w:val="Footer"/>
      <w:rPr>
        <w:sz w:val="12"/>
      </w:rPr>
    </w:pPr>
    <w:r>
      <w:rPr>
        <w:noProof/>
        <w:sz w:val="12"/>
      </w:rPr>
      <w:fldChar w:fldCharType="begin"/>
    </w:r>
    <w:r>
      <w:rPr>
        <w:noProof/>
        <w:sz w:val="12"/>
      </w:rPr>
      <w:instrText xml:space="preserve"> FILENAME  \* MERGEFORMAT </w:instrText>
    </w:r>
    <w:r>
      <w:rPr>
        <w:noProof/>
        <w:sz w:val="12"/>
      </w:rPr>
      <w:fldChar w:fldCharType="separate"/>
    </w:r>
    <w:r w:rsidR="00346312">
      <w:rPr>
        <w:noProof/>
        <w:sz w:val="12"/>
      </w:rPr>
      <w:t>DDA2b 04-Hepatic presentation B_2021Mar08.docx</w:t>
    </w:r>
    <w:r>
      <w:rPr>
        <w:noProof/>
        <w:sz w:val="12"/>
      </w:rPr>
      <w:fldChar w:fldCharType="end"/>
    </w:r>
    <w:r w:rsidR="00D36E2C">
      <w:rPr>
        <w:sz w:val="12"/>
      </w:rPr>
      <w:tab/>
    </w:r>
    <w:r w:rsidR="00D36E2C">
      <w:rPr>
        <w:rStyle w:val="PageNumber"/>
      </w:rPr>
      <w:fldChar w:fldCharType="begin"/>
    </w:r>
    <w:r w:rsidR="00D36E2C">
      <w:rPr>
        <w:rStyle w:val="PageNumber"/>
      </w:rPr>
      <w:instrText xml:space="preserve"> PAGE </w:instrText>
    </w:r>
    <w:r w:rsidR="00D36E2C">
      <w:rPr>
        <w:rStyle w:val="PageNumber"/>
      </w:rPr>
      <w:fldChar w:fldCharType="separate"/>
    </w:r>
    <w:r w:rsidR="00211F6F">
      <w:rPr>
        <w:rStyle w:val="PageNumber"/>
        <w:noProof/>
      </w:rPr>
      <w:t>5</w:t>
    </w:r>
    <w:r w:rsidR="00D36E2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5B4E0" w14:textId="77777777" w:rsidR="00B9720E" w:rsidRDefault="00B9720E">
      <w:r>
        <w:separator/>
      </w:r>
    </w:p>
  </w:footnote>
  <w:footnote w:type="continuationSeparator" w:id="0">
    <w:p w14:paraId="5A25B4E1" w14:textId="77777777" w:rsidR="00B9720E" w:rsidRDefault="00B9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5B4E4" w14:textId="77777777" w:rsidR="00D36E2C" w:rsidRDefault="00D36E2C">
    <w:pPr>
      <w:pStyle w:val="Header"/>
      <w:rPr>
        <w:rFonts w:ascii="Arial" w:hAnsi="Arial"/>
        <w:b/>
        <w:sz w:val="22"/>
      </w:rPr>
    </w:pPr>
    <w:r>
      <w:rPr>
        <w:rFonts w:ascii="Arial" w:hAnsi="Arial"/>
        <w:b/>
        <w:sz w:val="22"/>
      </w:rPr>
      <w:t>EMWA workshop</w:t>
    </w:r>
    <w:r>
      <w:rPr>
        <w:rFonts w:ascii="Arial" w:hAnsi="Arial"/>
        <w:b/>
        <w:sz w:val="22"/>
      </w:rPr>
      <w:br/>
      <w:t>Medical writing between dossier submission and drug approval</w:t>
    </w:r>
  </w:p>
  <w:p w14:paraId="5A25B4E5" w14:textId="77777777" w:rsidR="00DA2ACD" w:rsidRDefault="00DA2ACD">
    <w:pPr>
      <w:pStyle w:val="Header"/>
      <w:rPr>
        <w:rFonts w:ascii="Arial" w:hAnsi="Arial"/>
        <w:b/>
        <w:sz w:val="22"/>
      </w:rPr>
    </w:pPr>
    <w:r w:rsidRPr="0016182E">
      <w:rPr>
        <w:rFonts w:ascii="Arial" w:hAnsi="Arial"/>
        <w:b/>
        <w:sz w:val="22"/>
      </w:rPr>
      <w:t>Drug development, advanced (DDA2</w:t>
    </w:r>
    <w:r w:rsidR="00211F6F">
      <w:rPr>
        <w:rFonts w:ascii="Arial" w:hAnsi="Arial"/>
        <w:b/>
        <w:sz w:val="22"/>
      </w:rPr>
      <w:t>b</w:t>
    </w:r>
    <w:r w:rsidRPr="0016182E">
      <w:rPr>
        <w:rFonts w:ascii="Arial" w:hAnsi="Arial"/>
        <w:b/>
        <w:sz w:val="22"/>
      </w:rPr>
      <w:t>)</w:t>
    </w:r>
  </w:p>
  <w:p w14:paraId="5A25B4E6" w14:textId="77777777" w:rsidR="00DA2ACD" w:rsidRDefault="00DA2ACD">
    <w:pPr>
      <w:pStyle w:val="Head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8F0C3652"/>
    <w:lvl w:ilvl="0">
      <w:numFmt w:val="decimal"/>
      <w:lvlText w:val="*"/>
      <w:lvlJc w:val="left"/>
    </w:lvl>
  </w:abstractNum>
  <w:abstractNum w:abstractNumId="1" w15:restartNumberingAfterBreak="0">
    <w:nsid w:val="00FE4E33"/>
    <w:multiLevelType w:val="singleLevel"/>
    <w:tmpl w:val="0409000F"/>
    <w:lvl w:ilvl="0">
      <w:start w:val="1"/>
      <w:numFmt w:val="decimal"/>
      <w:lvlText w:val="%1."/>
      <w:legacy w:legacy="1" w:legacySpace="0" w:legacyIndent="360"/>
      <w:lvlJc w:val="left"/>
      <w:pPr>
        <w:ind w:left="360" w:hanging="360"/>
      </w:pPr>
    </w:lvl>
  </w:abstractNum>
  <w:abstractNum w:abstractNumId="2" w15:restartNumberingAfterBreak="0">
    <w:nsid w:val="076B534B"/>
    <w:multiLevelType w:val="singleLevel"/>
    <w:tmpl w:val="5BC88DF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4AE51E8"/>
    <w:multiLevelType w:val="singleLevel"/>
    <w:tmpl w:val="8CB6CC66"/>
    <w:lvl w:ilvl="0">
      <w:start w:val="1"/>
      <w:numFmt w:val="bullet"/>
      <w:pStyle w:val="BulletList2"/>
      <w:lvlText w:val=""/>
      <w:lvlJc w:val="left"/>
      <w:pPr>
        <w:tabs>
          <w:tab w:val="num" w:pos="720"/>
        </w:tabs>
        <w:ind w:left="720" w:hanging="360"/>
      </w:pPr>
      <w:rPr>
        <w:rFonts w:ascii="Symbol" w:hAnsi="Symbol" w:hint="default"/>
      </w:rPr>
    </w:lvl>
  </w:abstractNum>
  <w:abstractNum w:abstractNumId="4" w15:restartNumberingAfterBreak="0">
    <w:nsid w:val="26B94126"/>
    <w:multiLevelType w:val="singleLevel"/>
    <w:tmpl w:val="4E20ABA4"/>
    <w:lvl w:ilvl="0">
      <w:start w:val="1"/>
      <w:numFmt w:val="bullet"/>
      <w:lvlText w:val=""/>
      <w:lvlJc w:val="left"/>
      <w:pPr>
        <w:tabs>
          <w:tab w:val="num" w:pos="1080"/>
        </w:tabs>
        <w:ind w:left="1080" w:hanging="360"/>
      </w:pPr>
      <w:rPr>
        <w:rFonts w:ascii="Symbol" w:hAnsi="Symbol" w:hint="default"/>
        <w:sz w:val="18"/>
      </w:rPr>
    </w:lvl>
  </w:abstractNum>
  <w:abstractNum w:abstractNumId="5" w15:restartNumberingAfterBreak="0">
    <w:nsid w:val="381B30C9"/>
    <w:multiLevelType w:val="singleLevel"/>
    <w:tmpl w:val="93081514"/>
    <w:lvl w:ilvl="0">
      <w:start w:val="1"/>
      <w:numFmt w:val="bullet"/>
      <w:pStyle w:val="BulletList1"/>
      <w:lvlText w:val=""/>
      <w:lvlJc w:val="left"/>
      <w:pPr>
        <w:tabs>
          <w:tab w:val="num" w:pos="360"/>
        </w:tabs>
        <w:ind w:left="360" w:hanging="360"/>
      </w:pPr>
      <w:rPr>
        <w:rFonts w:ascii="Symbol" w:hAnsi="Symbol" w:hint="default"/>
        <w:sz w:val="22"/>
      </w:rPr>
    </w:lvl>
  </w:abstractNum>
  <w:abstractNum w:abstractNumId="6" w15:restartNumberingAfterBreak="0">
    <w:nsid w:val="3FEF7FE6"/>
    <w:multiLevelType w:val="singleLevel"/>
    <w:tmpl w:val="D414AEC0"/>
    <w:lvl w:ilvl="0">
      <w:start w:val="1"/>
      <w:numFmt w:val="bullet"/>
      <w:lvlText w:val=""/>
      <w:lvlJc w:val="left"/>
      <w:pPr>
        <w:tabs>
          <w:tab w:val="num" w:pos="0"/>
        </w:tabs>
        <w:ind w:left="360" w:hanging="360"/>
      </w:pPr>
      <w:rPr>
        <w:rFonts w:ascii="Symbol" w:hAnsi="Symbol" w:hint="default"/>
        <w:sz w:val="28"/>
      </w:rPr>
    </w:lvl>
  </w:abstractNum>
  <w:abstractNum w:abstractNumId="7" w15:restartNumberingAfterBreak="0">
    <w:nsid w:val="401400C3"/>
    <w:multiLevelType w:val="singleLevel"/>
    <w:tmpl w:val="2262606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44E24CB"/>
    <w:multiLevelType w:val="singleLevel"/>
    <w:tmpl w:val="4C748784"/>
    <w:lvl w:ilvl="0">
      <w:start w:val="1"/>
      <w:numFmt w:val="bullet"/>
      <w:lvlText w:val="–"/>
      <w:lvlJc w:val="left"/>
      <w:pPr>
        <w:tabs>
          <w:tab w:val="num" w:pos="720"/>
        </w:tabs>
        <w:ind w:left="720" w:hanging="360"/>
      </w:pPr>
      <w:rPr>
        <w:rFonts w:ascii="Arial" w:hAnsi="Arial" w:hint="default"/>
      </w:rPr>
    </w:lvl>
  </w:abstractNum>
  <w:abstractNum w:abstractNumId="9" w15:restartNumberingAfterBreak="0">
    <w:nsid w:val="445A045B"/>
    <w:multiLevelType w:val="singleLevel"/>
    <w:tmpl w:val="0409000F"/>
    <w:lvl w:ilvl="0">
      <w:start w:val="1"/>
      <w:numFmt w:val="decimal"/>
      <w:lvlText w:val="%1."/>
      <w:legacy w:legacy="1" w:legacySpace="0" w:legacyIndent="360"/>
      <w:lvlJc w:val="left"/>
      <w:pPr>
        <w:ind w:left="360" w:hanging="360"/>
      </w:pPr>
    </w:lvl>
  </w:abstractNum>
  <w:abstractNum w:abstractNumId="10" w15:restartNumberingAfterBreak="0">
    <w:nsid w:val="4A351FCD"/>
    <w:multiLevelType w:val="singleLevel"/>
    <w:tmpl w:val="04D22A48"/>
    <w:lvl w:ilvl="0">
      <w:start w:val="1"/>
      <w:numFmt w:val="bullet"/>
      <w:pStyle w:val="BulletList3"/>
      <w:lvlText w:val=""/>
      <w:lvlJc w:val="left"/>
      <w:pPr>
        <w:tabs>
          <w:tab w:val="num" w:pos="1080"/>
        </w:tabs>
        <w:ind w:left="1080" w:hanging="360"/>
      </w:pPr>
      <w:rPr>
        <w:rFonts w:ascii="Symbol" w:hAnsi="Symbol" w:hint="default"/>
        <w:sz w:val="18"/>
      </w:rPr>
    </w:lvl>
  </w:abstractNum>
  <w:abstractNum w:abstractNumId="11" w15:restartNumberingAfterBreak="0">
    <w:nsid w:val="573F4885"/>
    <w:multiLevelType w:val="singleLevel"/>
    <w:tmpl w:val="0409000F"/>
    <w:lvl w:ilvl="0">
      <w:start w:val="1"/>
      <w:numFmt w:val="decimal"/>
      <w:lvlText w:val="%1."/>
      <w:legacy w:legacy="1" w:legacySpace="0" w:legacyIndent="360"/>
      <w:lvlJc w:val="left"/>
      <w:pPr>
        <w:ind w:left="360" w:hanging="360"/>
      </w:pPr>
    </w:lvl>
  </w:abstractNum>
  <w:abstractNum w:abstractNumId="12" w15:restartNumberingAfterBreak="0">
    <w:nsid w:val="5E650559"/>
    <w:multiLevelType w:val="singleLevel"/>
    <w:tmpl w:val="B3D8F12C"/>
    <w:lvl w:ilvl="0">
      <w:start w:val="1"/>
      <w:numFmt w:val="bullet"/>
      <w:lvlText w:val=""/>
      <w:lvlJc w:val="left"/>
      <w:pPr>
        <w:tabs>
          <w:tab w:val="num" w:pos="1080"/>
        </w:tabs>
        <w:ind w:left="360" w:firstLine="360"/>
      </w:pPr>
      <w:rPr>
        <w:rFonts w:ascii="Symbol" w:hAnsi="Symbol" w:hint="default"/>
      </w:rPr>
    </w:lvl>
  </w:abstractNum>
  <w:abstractNum w:abstractNumId="13" w15:restartNumberingAfterBreak="0">
    <w:nsid w:val="6709061A"/>
    <w:multiLevelType w:val="singleLevel"/>
    <w:tmpl w:val="0409000F"/>
    <w:lvl w:ilvl="0">
      <w:start w:val="1"/>
      <w:numFmt w:val="decimal"/>
      <w:lvlText w:val="%1."/>
      <w:legacy w:legacy="1" w:legacySpace="0" w:legacyIndent="360"/>
      <w:lvlJc w:val="left"/>
      <w:pPr>
        <w:ind w:left="360" w:hanging="360"/>
      </w:pPr>
    </w:lvl>
  </w:abstractNum>
  <w:abstractNum w:abstractNumId="14" w15:restartNumberingAfterBreak="0">
    <w:nsid w:val="7F036681"/>
    <w:multiLevelType w:val="singleLevel"/>
    <w:tmpl w:val="4008FD86"/>
    <w:lvl w:ilvl="0">
      <w:start w:val="1"/>
      <w:numFmt w:val="decimal"/>
      <w:pStyle w:val="NumberList"/>
      <w:lvlText w:val="%1."/>
      <w:lvlJc w:val="left"/>
      <w:pPr>
        <w:tabs>
          <w:tab w:val="num" w:pos="360"/>
        </w:tabs>
        <w:ind w:left="360" w:hanging="360"/>
      </w:pPr>
    </w:lvl>
  </w:abstractNum>
  <w:abstractNum w:abstractNumId="15" w15:restartNumberingAfterBreak="0">
    <w:nsid w:val="7FBF0F1B"/>
    <w:multiLevelType w:val="singleLevel"/>
    <w:tmpl w:val="8954F568"/>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4">
    <w:abstractNumId w:val="13"/>
  </w:num>
  <w:num w:numId="5">
    <w:abstractNumId w:val="0"/>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0">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8">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9">
    <w:abstractNumId w:val="2"/>
  </w:num>
  <w:num w:numId="20">
    <w:abstractNumId w:val="15"/>
  </w:num>
  <w:num w:numId="21">
    <w:abstractNumId w:val="7"/>
  </w:num>
  <w:num w:numId="22">
    <w:abstractNumId w:val="2"/>
  </w:num>
  <w:num w:numId="23">
    <w:abstractNumId w:val="15"/>
  </w:num>
  <w:num w:numId="24">
    <w:abstractNumId w:val="7"/>
  </w:num>
  <w:num w:numId="25">
    <w:abstractNumId w:val="0"/>
    <w:lvlOverride w:ilvl="0">
      <w:lvl w:ilvl="0">
        <w:start w:val="1"/>
        <w:numFmt w:val="bullet"/>
        <w:lvlText w:val=""/>
        <w:legacy w:legacy="1" w:legacySpace="0" w:legacyIndent="360"/>
        <w:lvlJc w:val="left"/>
        <w:pPr>
          <w:ind w:left="1080" w:hanging="360"/>
        </w:pPr>
        <w:rPr>
          <w:rFonts w:ascii="Times" w:hAnsi="Times" w:hint="default"/>
        </w:rPr>
      </w:lvl>
    </w:lvlOverride>
  </w:num>
  <w:num w:numId="26">
    <w:abstractNumId w:val="4"/>
  </w:num>
  <w:num w:numId="27">
    <w:abstractNumId w:val="8"/>
  </w:num>
  <w:num w:numId="28">
    <w:abstractNumId w:val="0"/>
    <w:lvlOverride w:ilvl="0">
      <w:lvl w:ilvl="0">
        <w:start w:val="1"/>
        <w:numFmt w:val="bullet"/>
        <w:lvlText w:val=""/>
        <w:legacy w:legacy="1" w:legacySpace="0" w:legacyIndent="360"/>
        <w:lvlJc w:val="left"/>
        <w:pPr>
          <w:ind w:left="360" w:hanging="360"/>
        </w:pPr>
        <w:rPr>
          <w:rFonts w:ascii="Times" w:hAnsi="Times" w:hint="default"/>
        </w:rPr>
      </w:lvl>
    </w:lvlOverride>
  </w:num>
  <w:num w:numId="29">
    <w:abstractNumId w:val="6"/>
  </w:num>
  <w:num w:numId="3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31">
    <w:abstractNumId w:val="5"/>
  </w:num>
  <w:num w:numId="32">
    <w:abstractNumId w:val="0"/>
    <w:lvlOverride w:ilvl="0">
      <w:lvl w:ilvl="0">
        <w:start w:val="1"/>
        <w:numFmt w:val="bullet"/>
        <w:lvlText w:val=""/>
        <w:legacy w:legacy="1" w:legacySpace="0" w:legacyIndent="360"/>
        <w:lvlJc w:val="left"/>
        <w:pPr>
          <w:ind w:left="720" w:hanging="360"/>
        </w:pPr>
        <w:rPr>
          <w:rFonts w:ascii="Courier New" w:hAnsi="Courier New" w:hint="default"/>
        </w:rPr>
      </w:lvl>
    </w:lvlOverride>
  </w:num>
  <w:num w:numId="33">
    <w:abstractNumId w:val="3"/>
  </w:num>
  <w:num w:numId="34">
    <w:abstractNumId w:val="0"/>
    <w:lvlOverride w:ilvl="0">
      <w:lvl w:ilvl="0">
        <w:start w:val="1"/>
        <w:numFmt w:val="bullet"/>
        <w:lvlText w:val=""/>
        <w:legacy w:legacy="1" w:legacySpace="0" w:legacyIndent="283"/>
        <w:lvlJc w:val="left"/>
        <w:pPr>
          <w:ind w:left="1003" w:hanging="283"/>
        </w:pPr>
        <w:rPr>
          <w:rFonts w:ascii="Courier New" w:hAnsi="Courier New" w:hint="default"/>
          <w:sz w:val="18"/>
        </w:rPr>
      </w:lvl>
    </w:lvlOverride>
  </w:num>
  <w:num w:numId="35">
    <w:abstractNumId w:val="10"/>
  </w:num>
  <w:num w:numId="36">
    <w:abstractNumId w:val="1"/>
  </w:num>
  <w:num w:numId="37">
    <w:abstractNumId w:val="9"/>
  </w:num>
  <w:num w:numId="38">
    <w:abstractNumId w:val="14"/>
  </w:num>
  <w:num w:numId="39">
    <w:abstractNumId w:val="5"/>
  </w:num>
  <w:num w:numId="40">
    <w:abstractNumId w:val="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paper2" w:val="N"/>
  </w:docVars>
  <w:rsids>
    <w:rsidRoot w:val="001548D4"/>
    <w:rsid w:val="0007790F"/>
    <w:rsid w:val="000943A8"/>
    <w:rsid w:val="001548D4"/>
    <w:rsid w:val="00211F6F"/>
    <w:rsid w:val="002B265C"/>
    <w:rsid w:val="002D1F25"/>
    <w:rsid w:val="00346312"/>
    <w:rsid w:val="00346EEB"/>
    <w:rsid w:val="003625A5"/>
    <w:rsid w:val="003F1FFC"/>
    <w:rsid w:val="00443E1F"/>
    <w:rsid w:val="0047599C"/>
    <w:rsid w:val="00531AD2"/>
    <w:rsid w:val="00796795"/>
    <w:rsid w:val="00A5746E"/>
    <w:rsid w:val="00B867A4"/>
    <w:rsid w:val="00B9720E"/>
    <w:rsid w:val="00BB51CF"/>
    <w:rsid w:val="00BF0690"/>
    <w:rsid w:val="00D36E2C"/>
    <w:rsid w:val="00DA2ACD"/>
    <w:rsid w:val="00DE689D"/>
    <w:rsid w:val="00E82A2F"/>
    <w:rsid w:val="00EA40E8"/>
    <w:rsid w:val="00EF1B98"/>
    <w:rsid w:val="00F31585"/>
    <w:rsid w:val="00F41B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A25B4C4"/>
  <w15:docId w15:val="{FEB0068C-C56F-4627-8EF4-C6D5AB135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de-DE"/>
    </w:rPr>
  </w:style>
  <w:style w:type="paragraph" w:styleId="Heading1">
    <w:name w:val="heading 1"/>
    <w:basedOn w:val="Normal"/>
    <w:next w:val="Para"/>
    <w:qFormat/>
    <w:pPr>
      <w:keepNext/>
      <w:keepLines/>
      <w:pageBreakBefore/>
      <w:spacing w:before="360"/>
      <w:ind w:left="1152" w:hanging="1152"/>
      <w:outlineLvl w:val="0"/>
    </w:pPr>
    <w:rPr>
      <w:rFonts w:ascii="Arial" w:hAnsi="Arial"/>
      <w:b/>
      <w:caps/>
      <w:sz w:val="32"/>
    </w:rPr>
  </w:style>
  <w:style w:type="paragraph" w:styleId="Heading2">
    <w:name w:val="heading 2"/>
    <w:basedOn w:val="Normal"/>
    <w:next w:val="Para"/>
    <w:qFormat/>
    <w:pPr>
      <w:keepNext/>
      <w:keepLines/>
      <w:spacing w:before="480"/>
      <w:ind w:left="1022" w:hanging="1022"/>
      <w:outlineLvl w:val="1"/>
    </w:pPr>
    <w:rPr>
      <w:rFonts w:ascii="Arial" w:hAnsi="Arial"/>
      <w:b/>
      <w:sz w:val="28"/>
    </w:rPr>
  </w:style>
  <w:style w:type="paragraph" w:styleId="Heading3">
    <w:name w:val="heading 3"/>
    <w:basedOn w:val="Normal"/>
    <w:next w:val="Para"/>
    <w:qFormat/>
    <w:pPr>
      <w:keepNext/>
      <w:keepLines/>
      <w:spacing w:before="480"/>
      <w:ind w:left="850" w:hanging="850"/>
      <w:outlineLvl w:val="2"/>
    </w:pPr>
    <w:rPr>
      <w:rFonts w:ascii="Arial" w:hAnsi="Arial"/>
      <w:b/>
      <w:sz w:val="24"/>
    </w:rPr>
  </w:style>
  <w:style w:type="paragraph" w:styleId="Heading4">
    <w:name w:val="heading 4"/>
    <w:basedOn w:val="Normal"/>
    <w:next w:val="Para"/>
    <w:qFormat/>
    <w:pPr>
      <w:keepNext/>
      <w:keepLines/>
      <w:spacing w:before="360"/>
      <w:ind w:left="677" w:hanging="677"/>
      <w:outlineLvl w:val="3"/>
    </w:pPr>
    <w:rPr>
      <w:rFonts w:ascii="Arial" w:hAnsi="Arial"/>
      <w:b/>
    </w:rPr>
  </w:style>
  <w:style w:type="paragraph" w:styleId="Heading5">
    <w:name w:val="heading 5"/>
    <w:basedOn w:val="Normal"/>
    <w:next w:val="Para"/>
    <w:qFormat/>
    <w:pPr>
      <w:keepNext/>
      <w:keepLines/>
      <w:spacing w:before="216"/>
      <w:ind w:left="504" w:hanging="504"/>
      <w:outlineLvl w:val="4"/>
    </w:pPr>
    <w:rPr>
      <w:rFonts w:ascii="Arial" w:hAnsi="Arial"/>
      <w:b/>
      <w:i/>
    </w:rPr>
  </w:style>
  <w:style w:type="paragraph" w:styleId="Heading6">
    <w:name w:val="heading 6"/>
    <w:basedOn w:val="Normal"/>
    <w:next w:val="Para"/>
    <w:qFormat/>
    <w:pPr>
      <w:keepNext/>
      <w:keepLines/>
      <w:spacing w:before="216"/>
      <w:ind w:left="504" w:hanging="504"/>
      <w:outlineLvl w:val="5"/>
    </w:pPr>
    <w:rPr>
      <w:rFonts w:ascii="Arial" w:hAnsi="Arial"/>
      <w:b/>
    </w:rPr>
  </w:style>
  <w:style w:type="paragraph" w:styleId="Heading7">
    <w:name w:val="heading 7"/>
    <w:basedOn w:val="Normal"/>
    <w:next w:val="Para"/>
    <w:qFormat/>
    <w:pPr>
      <w:keepNext/>
      <w:keepLines/>
      <w:spacing w:before="216"/>
      <w:ind w:left="504" w:hanging="504"/>
      <w:outlineLvl w:val="6"/>
    </w:pPr>
    <w:rPr>
      <w:rFonts w:ascii="Arial" w:hAnsi="Arial"/>
      <w:b/>
    </w:rPr>
  </w:style>
  <w:style w:type="paragraph" w:styleId="Heading8">
    <w:name w:val="heading 8"/>
    <w:basedOn w:val="Normal"/>
    <w:next w:val="Para"/>
    <w:qFormat/>
    <w:pPr>
      <w:keepNext/>
      <w:keepLines/>
      <w:spacing w:before="216"/>
      <w:ind w:left="504" w:hanging="504"/>
      <w:outlineLvl w:val="7"/>
    </w:pPr>
    <w:rPr>
      <w:rFonts w:ascii="Arial" w:hAnsi="Arial"/>
      <w:b/>
    </w:rPr>
  </w:style>
  <w:style w:type="paragraph" w:styleId="Heading9">
    <w:name w:val="heading 9"/>
    <w:basedOn w:val="Normal"/>
    <w:next w:val="Para"/>
    <w:qFormat/>
    <w:pPr>
      <w:keepNext/>
      <w:keepLines/>
      <w:spacing w:before="216"/>
      <w:ind w:left="504" w:hanging="504"/>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pPr>
      <w:suppressAutoHyphens/>
      <w:spacing w:before="240"/>
    </w:pPr>
    <w:rPr>
      <w:sz w:val="22"/>
      <w:lang w:val="en-US" w:eastAsia="de-DE"/>
    </w:rPr>
  </w:style>
  <w:style w:type="paragraph" w:customStyle="1" w:styleId="BulletList1">
    <w:name w:val="Bullet List 1"/>
    <w:basedOn w:val="Normal"/>
    <w:pPr>
      <w:numPr>
        <w:numId w:val="39"/>
      </w:numPr>
      <w:spacing w:before="120"/>
    </w:pPr>
    <w:rPr>
      <w:sz w:val="22"/>
    </w:rPr>
  </w:style>
  <w:style w:type="paragraph" w:customStyle="1" w:styleId="BulletList2">
    <w:name w:val="Bullet List 2"/>
    <w:basedOn w:val="Normal"/>
    <w:pPr>
      <w:numPr>
        <w:numId w:val="40"/>
      </w:numPr>
      <w:spacing w:before="120"/>
    </w:pPr>
    <w:rPr>
      <w:sz w:val="22"/>
    </w:rPr>
  </w:style>
  <w:style w:type="paragraph" w:customStyle="1" w:styleId="BulletList3">
    <w:name w:val="Bullet List 3"/>
    <w:basedOn w:val="Normal"/>
    <w:pPr>
      <w:numPr>
        <w:numId w:val="41"/>
      </w:numPr>
      <w:spacing w:before="120"/>
    </w:pPr>
    <w:rPr>
      <w:sz w:val="22"/>
    </w:rPr>
  </w:style>
  <w:style w:type="paragraph" w:styleId="Caption">
    <w:name w:val="caption"/>
    <w:basedOn w:val="Normal"/>
    <w:next w:val="Normal"/>
    <w:qFormat/>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120" w:after="72"/>
    </w:pPr>
    <w:rPr>
      <w:rFonts w:ascii="Arial" w:hAnsi="Arial"/>
      <w:b/>
    </w:rPr>
  </w:style>
  <w:style w:type="paragraph" w:customStyle="1" w:styleId="figtitle">
    <w:name w:val="fig:title"/>
    <w:basedOn w:val="Normal"/>
    <w:next w:val="Para"/>
    <w:pPr>
      <w:jc w:val="center"/>
    </w:pPr>
    <w:rPr>
      <w:rFonts w:ascii="Arial" w:hAnsi="Arial"/>
      <w:b/>
    </w:rPr>
  </w:style>
  <w:style w:type="paragraph" w:customStyle="1" w:styleId="tbltitle">
    <w:name w:val="tbl:title"/>
    <w:basedOn w:val="Para"/>
    <w:next w:val="Para"/>
    <w:pPr>
      <w:jc w:val="center"/>
    </w:pPr>
    <w:rPr>
      <w:rFonts w:ascii="Arial" w:hAnsi="Arial"/>
      <w:b/>
      <w:sz w:val="20"/>
    </w:rPr>
  </w:style>
  <w:style w:type="paragraph" w:customStyle="1" w:styleId="Figcap">
    <w:name w:val="Figcap"/>
    <w:basedOn w:val="Caption"/>
    <w:next w:val="Para"/>
    <w:pPr>
      <w:spacing w:before="202"/>
    </w:pPr>
  </w:style>
  <w:style w:type="paragraph" w:styleId="Footer">
    <w:name w:val="footer"/>
    <w:basedOn w:val="Normal"/>
    <w:pPr>
      <w:tabs>
        <w:tab w:val="right" w:pos="9072"/>
      </w:tabs>
    </w:pPr>
    <w:rPr>
      <w:sz w:val="22"/>
    </w:rPr>
  </w:style>
  <w:style w:type="character" w:styleId="FootnoteReference">
    <w:name w:val="footnote reference"/>
    <w:basedOn w:val="DefaultParagraphFont"/>
    <w:semiHidden/>
    <w:rPr>
      <w:rFonts w:ascii="Times New Roman" w:hAnsi="Times New Roman"/>
      <w:position w:val="6"/>
      <w:sz w:val="18"/>
      <w:vertAlign w:val="baseline"/>
    </w:rPr>
  </w:style>
  <w:style w:type="paragraph" w:styleId="FootnoteText">
    <w:name w:val="footnote text"/>
    <w:basedOn w:val="Normal"/>
    <w:semiHidden/>
    <w:pPr>
      <w:ind w:left="504" w:hanging="504"/>
    </w:pPr>
  </w:style>
  <w:style w:type="paragraph" w:styleId="Header">
    <w:name w:val="header"/>
    <w:basedOn w:val="Normal"/>
    <w:pPr>
      <w:tabs>
        <w:tab w:val="center" w:pos="4536"/>
      </w:tabs>
    </w:pPr>
    <w:rPr>
      <w:sz w:val="18"/>
    </w:rPr>
  </w:style>
  <w:style w:type="paragraph" w:customStyle="1" w:styleId="Heading1notoc">
    <w:name w:val="Heading 1notoc"/>
    <w:basedOn w:val="Heading1"/>
    <w:next w:val="Para"/>
    <w:pPr>
      <w:outlineLvl w:val="9"/>
    </w:pPr>
  </w:style>
  <w:style w:type="paragraph" w:customStyle="1" w:styleId="Heading2notoc">
    <w:name w:val="Heading 2notoc"/>
    <w:basedOn w:val="Heading2"/>
    <w:next w:val="Para"/>
    <w:pPr>
      <w:outlineLvl w:val="9"/>
    </w:pPr>
  </w:style>
  <w:style w:type="paragraph" w:customStyle="1" w:styleId="Heading3notoc">
    <w:name w:val="Heading 3notoc"/>
    <w:basedOn w:val="Heading3"/>
    <w:next w:val="Para"/>
    <w:pPr>
      <w:outlineLvl w:val="9"/>
    </w:pPr>
  </w:style>
  <w:style w:type="paragraph" w:customStyle="1" w:styleId="Heading4notoc">
    <w:name w:val="Heading 4notoc"/>
    <w:basedOn w:val="Heading4"/>
    <w:next w:val="Para"/>
    <w:pPr>
      <w:outlineLvl w:val="9"/>
    </w:pPr>
  </w:style>
  <w:style w:type="paragraph" w:customStyle="1" w:styleId="Heading5notoc">
    <w:name w:val="Heading 5notoc"/>
    <w:basedOn w:val="Heading5"/>
    <w:next w:val="Para"/>
    <w:pPr>
      <w:outlineLvl w:val="9"/>
    </w:pPr>
  </w:style>
  <w:style w:type="paragraph" w:customStyle="1" w:styleId="Heading6notoc">
    <w:name w:val="Heading 6notoc"/>
    <w:basedOn w:val="Heading6"/>
    <w:next w:val="Para"/>
    <w:pPr>
      <w:outlineLvl w:val="9"/>
    </w:pPr>
  </w:style>
  <w:style w:type="paragraph" w:customStyle="1" w:styleId="Heading7notoc">
    <w:name w:val="Heading 7notoc"/>
    <w:basedOn w:val="Heading7"/>
    <w:next w:val="Para"/>
    <w:pPr>
      <w:outlineLvl w:val="9"/>
    </w:pPr>
  </w:style>
  <w:style w:type="paragraph" w:customStyle="1" w:styleId="Hmr">
    <w:name w:val="Hmr"/>
    <w:next w:val="Para"/>
    <w:pPr>
      <w:framePr w:w="2557" w:h="885" w:hSpace="181" w:wrap="around" w:hAnchor="margin" w:xAlign="right" w:yAlign="bottom"/>
      <w:spacing w:before="120"/>
    </w:pPr>
    <w:rPr>
      <w:rFonts w:ascii="Garamond" w:hAnsi="Garamond"/>
      <w:noProof/>
      <w:lang w:val="de-DE" w:eastAsia="de-D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uppressAutoHyphens/>
      <w:spacing w:before="202" w:after="72"/>
    </w:pPr>
    <w:rPr>
      <w:rFonts w:ascii="Courier New" w:hAnsi="Courier New"/>
      <w:lang w:val="en-US" w:eastAsia="de-DE"/>
    </w:rPr>
  </w:style>
  <w:style w:type="paragraph" w:customStyle="1" w:styleId="NumberList">
    <w:name w:val="Number List"/>
    <w:basedOn w:val="Normal"/>
    <w:pPr>
      <w:numPr>
        <w:numId w:val="38"/>
      </w:numPr>
      <w:spacing w:before="120"/>
    </w:pPr>
    <w:rPr>
      <w:sz w:val="22"/>
    </w:rPr>
  </w:style>
  <w:style w:type="character" w:styleId="PageNumber">
    <w:name w:val="page number"/>
    <w:basedOn w:val="DefaultParagraphFont"/>
  </w:style>
  <w:style w:type="paragraph" w:customStyle="1" w:styleId="Parahead">
    <w:name w:val="Parahead"/>
    <w:basedOn w:val="Para"/>
    <w:rPr>
      <w:b/>
    </w:rPr>
  </w:style>
  <w:style w:type="paragraph" w:customStyle="1" w:styleId="Paraindent">
    <w:name w:val="Paraindent"/>
    <w:basedOn w:val="Para"/>
    <w:pPr>
      <w:ind w:left="360"/>
    </w:pPr>
  </w:style>
  <w:style w:type="paragraph" w:customStyle="1" w:styleId="Paranospace">
    <w:name w:val="Paranospace"/>
    <w:basedOn w:val="Para"/>
    <w:pPr>
      <w:spacing w:before="0" w:after="60"/>
    </w:pPr>
  </w:style>
  <w:style w:type="paragraph" w:customStyle="1" w:styleId="Pohead">
    <w:name w:val="Pohead"/>
    <w:basedOn w:val="Parahead"/>
    <w:next w:val="Parahead"/>
    <w:rPr>
      <w:rFonts w:ascii="Arial" w:hAnsi="Arial"/>
    </w:rPr>
  </w:style>
  <w:style w:type="paragraph" w:customStyle="1" w:styleId="row10">
    <w:name w:val="row10"/>
    <w:basedOn w:val="Normal"/>
    <w:pPr>
      <w:spacing w:before="38" w:after="38"/>
    </w:pPr>
    <w:rPr>
      <w:rFonts w:ascii="Arial" w:hAnsi="Arial"/>
    </w:rPr>
  </w:style>
  <w:style w:type="paragraph" w:customStyle="1" w:styleId="row8">
    <w:name w:val="row8"/>
    <w:basedOn w:val="Para"/>
    <w:pPr>
      <w:spacing w:before="38" w:after="38"/>
    </w:pPr>
    <w:rPr>
      <w:rFonts w:ascii="Courier New" w:hAnsi="Courier New"/>
      <w:sz w:val="16"/>
    </w:rPr>
  </w:style>
  <w:style w:type="paragraph" w:customStyle="1" w:styleId="allstrow">
    <w:name w:val="allstrow"/>
    <w:pPr>
      <w:tabs>
        <w:tab w:val="left" w:pos="360"/>
      </w:tabs>
    </w:pPr>
    <w:rPr>
      <w:rFonts w:ascii="Arial" w:hAnsi="Arial"/>
      <w:noProof/>
      <w:color w:val="000000"/>
      <w:sz w:val="14"/>
      <w:lang w:val="de-DE" w:eastAsia="de-DE"/>
    </w:rPr>
  </w:style>
  <w:style w:type="paragraph" w:customStyle="1" w:styleId="tblfooter10">
    <w:name w:val="tbl:footer10"/>
    <w:basedOn w:val="Normal"/>
    <w:next w:val="Para"/>
    <w:pPr>
      <w:ind w:left="504" w:hanging="504"/>
    </w:pPr>
    <w:rPr>
      <w:rFonts w:ascii="Arial" w:hAnsi="Arial"/>
    </w:rPr>
  </w:style>
  <w:style w:type="paragraph" w:customStyle="1" w:styleId="sstitle">
    <w:name w:val="ss:title"/>
    <w:basedOn w:val="Normal"/>
    <w:pPr>
      <w:pageBreakBefore/>
      <w:jc w:val="center"/>
    </w:pPr>
    <w:rPr>
      <w:rFonts w:ascii="Arial" w:hAnsi="Arial"/>
      <w:b/>
      <w:sz w:val="24"/>
    </w:rPr>
  </w:style>
  <w:style w:type="paragraph" w:customStyle="1" w:styleId="tabbreak">
    <w:name w:val="tabbreak"/>
    <w:basedOn w:val="Para"/>
    <w:pPr>
      <w:spacing w:before="20" w:line="20" w:lineRule="exact"/>
      <w:jc w:val="center"/>
    </w:pPr>
  </w:style>
  <w:style w:type="paragraph" w:customStyle="1" w:styleId="tblcaption10">
    <w:name w:val="tbl:caption10"/>
    <w:basedOn w:val="Normal"/>
    <w:next w:val="Para"/>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202" w:after="72"/>
      <w:ind w:left="1656" w:hanging="1656"/>
    </w:pPr>
    <w:rPr>
      <w:rFonts w:ascii="Arial" w:hAnsi="Arial"/>
      <w:b/>
    </w:rPr>
  </w:style>
  <w:style w:type="paragraph" w:customStyle="1" w:styleId="tblcaption8">
    <w:name w:val="tbl:caption8"/>
    <w:basedOn w:val="Caption"/>
    <w:next w:val="Para"/>
    <w:pPr>
      <w:spacing w:before="60" w:after="60"/>
      <w:ind w:left="1397" w:hanging="1397"/>
    </w:pPr>
    <w:rPr>
      <w:rFonts w:ascii="Courier New" w:hAnsi="Courier New"/>
      <w:b w:val="0"/>
      <w:sz w:val="16"/>
    </w:rPr>
  </w:style>
  <w:style w:type="paragraph" w:customStyle="1" w:styleId="tblcaption9">
    <w:name w:val="tbl:caption9"/>
    <w:basedOn w:val="tblcaption8"/>
    <w:next w:val="Para"/>
    <w:pPr>
      <w:ind w:left="1526" w:hanging="1526"/>
    </w:pPr>
    <w:rPr>
      <w:sz w:val="18"/>
    </w:rPr>
  </w:style>
  <w:style w:type="paragraph" w:customStyle="1" w:styleId="tblfooter8">
    <w:name w:val="tbl:footer8"/>
    <w:basedOn w:val="Para"/>
    <w:pPr>
      <w:tabs>
        <w:tab w:val="left" w:pos="504"/>
      </w:tabs>
      <w:spacing w:before="0"/>
      <w:ind w:left="504" w:hanging="504"/>
    </w:pPr>
    <w:rPr>
      <w:rFonts w:ascii="Courier New" w:hAnsi="Courier New"/>
      <w:sz w:val="16"/>
    </w:rPr>
  </w:style>
  <w:style w:type="paragraph" w:customStyle="1" w:styleId="eurow8">
    <w:name w:val="eurow8"/>
    <w:basedOn w:val="Para"/>
    <w:pPr>
      <w:spacing w:before="38" w:after="38"/>
    </w:pPr>
    <w:rPr>
      <w:rFonts w:ascii="Arial" w:hAnsi="Arial"/>
      <w:sz w:val="16"/>
    </w:rPr>
  </w:style>
  <w:style w:type="paragraph" w:customStyle="1" w:styleId="titlepghd">
    <w:name w:val="titlepghd"/>
    <w:basedOn w:val="Para"/>
    <w:pPr>
      <w:suppressAutoHyphens w:val="0"/>
      <w:jc w:val="center"/>
    </w:pPr>
    <w:rPr>
      <w:rFonts w:ascii="Arial" w:hAnsi="Arial"/>
      <w:b/>
      <w:sz w:val="28"/>
    </w:rPr>
  </w:style>
  <w:style w:type="paragraph" w:customStyle="1" w:styleId="titlepgtxt">
    <w:name w:val="titlepgtxt"/>
    <w:basedOn w:val="titlepghd"/>
    <w:pPr>
      <w:spacing w:before="0"/>
    </w:pPr>
    <w:rPr>
      <w:rFonts w:ascii="Times New Roman" w:hAnsi="Times New Roman"/>
      <w:b w:val="0"/>
      <w:sz w:val="22"/>
    </w:rPr>
  </w:style>
  <w:style w:type="paragraph" w:customStyle="1" w:styleId="TOC">
    <w:name w:val="TOC"/>
    <w:basedOn w:val="Heading1notoc"/>
    <w:next w:val="Para"/>
    <w:pPr>
      <w:spacing w:after="280"/>
      <w:jc w:val="center"/>
    </w:pPr>
  </w:style>
  <w:style w:type="paragraph" w:styleId="TOC1">
    <w:name w:val="toc 1"/>
    <w:basedOn w:val="Para"/>
    <w:next w:val="Para"/>
    <w:semiHidden/>
    <w:pPr>
      <w:keepNext/>
      <w:tabs>
        <w:tab w:val="right" w:leader="dot" w:pos="9000"/>
      </w:tabs>
      <w:spacing w:before="360"/>
      <w:ind w:left="1134" w:right="1134" w:hanging="1134"/>
    </w:pPr>
    <w:rPr>
      <w:b/>
      <w:caps/>
    </w:rPr>
  </w:style>
  <w:style w:type="paragraph" w:styleId="TOC2">
    <w:name w:val="toc 2"/>
    <w:basedOn w:val="Para"/>
    <w:next w:val="Para"/>
    <w:semiHidden/>
    <w:pPr>
      <w:tabs>
        <w:tab w:val="right" w:leader="dot" w:pos="9000"/>
      </w:tabs>
      <w:spacing w:before="0"/>
      <w:ind w:left="1023" w:right="1138" w:hanging="562"/>
    </w:pPr>
    <w:rPr>
      <w:b/>
    </w:rPr>
  </w:style>
  <w:style w:type="paragraph" w:styleId="TOC3">
    <w:name w:val="toc 3"/>
    <w:basedOn w:val="Para"/>
    <w:next w:val="Para"/>
    <w:semiHidden/>
    <w:pPr>
      <w:tabs>
        <w:tab w:val="right" w:leader="dot" w:pos="9000"/>
      </w:tabs>
      <w:spacing w:before="0"/>
      <w:ind w:left="1872" w:right="1134" w:hanging="851"/>
    </w:pPr>
  </w:style>
  <w:style w:type="paragraph" w:styleId="TOC4">
    <w:name w:val="toc 4"/>
    <w:basedOn w:val="Para"/>
    <w:next w:val="Para"/>
    <w:semiHidden/>
    <w:pPr>
      <w:tabs>
        <w:tab w:val="right" w:leader="dot" w:pos="9000"/>
      </w:tabs>
      <w:spacing w:before="0"/>
      <w:ind w:left="2155" w:right="1134" w:hanging="284"/>
    </w:pPr>
  </w:style>
  <w:style w:type="paragraph" w:styleId="TOC5">
    <w:name w:val="toc 5"/>
    <w:basedOn w:val="Para"/>
    <w:next w:val="Para"/>
    <w:semiHidden/>
    <w:pPr>
      <w:tabs>
        <w:tab w:val="right" w:leader="dot" w:pos="9000"/>
      </w:tabs>
      <w:spacing w:before="0"/>
      <w:ind w:left="2448" w:right="1138" w:hanging="288"/>
    </w:pPr>
  </w:style>
  <w:style w:type="paragraph" w:styleId="TOC6">
    <w:name w:val="toc 6"/>
    <w:basedOn w:val="Para"/>
    <w:next w:val="Para"/>
    <w:semiHidden/>
    <w:pPr>
      <w:tabs>
        <w:tab w:val="right" w:leader="dot" w:pos="9000"/>
      </w:tabs>
      <w:spacing w:before="0"/>
      <w:ind w:left="2736" w:right="1138" w:hanging="288"/>
      <w:outlineLvl w:val="5"/>
    </w:pPr>
  </w:style>
  <w:style w:type="paragraph" w:styleId="TOC7">
    <w:name w:val="toc 7"/>
    <w:basedOn w:val="Para"/>
    <w:next w:val="Para"/>
    <w:semiHidden/>
    <w:pPr>
      <w:tabs>
        <w:tab w:val="right" w:leader="dot" w:pos="9000"/>
      </w:tabs>
      <w:spacing w:before="0"/>
      <w:ind w:left="3024" w:right="1138" w:hanging="288"/>
      <w:outlineLvl w:val="6"/>
    </w:pPr>
  </w:style>
  <w:style w:type="paragraph" w:styleId="TOC8">
    <w:name w:val="toc 8"/>
    <w:basedOn w:val="Para"/>
    <w:next w:val="Para"/>
    <w:semiHidden/>
    <w:pPr>
      <w:tabs>
        <w:tab w:val="right" w:leader="dot" w:pos="9000"/>
      </w:tabs>
      <w:spacing w:before="0"/>
      <w:ind w:left="3312" w:right="1138" w:hanging="288"/>
      <w:outlineLvl w:val="7"/>
    </w:pPr>
  </w:style>
  <w:style w:type="paragraph" w:styleId="TOC9">
    <w:name w:val="toc 9"/>
    <w:basedOn w:val="Para"/>
    <w:next w:val="Para"/>
    <w:semiHidden/>
    <w:pPr>
      <w:spacing w:before="0"/>
      <w:ind w:left="3600" w:right="1138" w:hanging="288"/>
      <w:outlineLvl w:val="8"/>
    </w:pPr>
  </w:style>
  <w:style w:type="paragraph" w:customStyle="1" w:styleId="sigblock">
    <w:name w:val="sigblock"/>
    <w:basedOn w:val="Para"/>
    <w:next w:val="Para"/>
    <w:pPr>
      <w:tabs>
        <w:tab w:val="right" w:leader="underscore" w:pos="8280"/>
      </w:tabs>
      <w:spacing w:before="1500"/>
    </w:pPr>
  </w:style>
  <w:style w:type="paragraph" w:customStyle="1" w:styleId="signame">
    <w:name w:val="signame"/>
    <w:basedOn w:val="sigblock"/>
    <w:next w:val="Para"/>
    <w:pPr>
      <w:tabs>
        <w:tab w:val="clear" w:pos="8280"/>
        <w:tab w:val="center" w:pos="4320"/>
      </w:tabs>
      <w:spacing w:before="0"/>
    </w:pPr>
  </w:style>
  <w:style w:type="paragraph" w:customStyle="1" w:styleId="Synhead">
    <w:name w:val="Synhead"/>
    <w:basedOn w:val="Para"/>
    <w:next w:val="Synpara"/>
    <w:pPr>
      <w:keepNext/>
      <w:keepLines/>
    </w:pPr>
    <w:rPr>
      <w:rFonts w:ascii="Arial" w:hAnsi="Arial"/>
      <w:b/>
    </w:rPr>
  </w:style>
  <w:style w:type="paragraph" w:customStyle="1" w:styleId="Synpara">
    <w:name w:val="Synpara"/>
    <w:basedOn w:val="Para"/>
    <w:pPr>
      <w:spacing w:before="0" w:after="60"/>
    </w:pPr>
  </w:style>
  <w:style w:type="paragraph" w:customStyle="1" w:styleId="Subxref">
    <w:name w:val="Subxref"/>
    <w:basedOn w:val="Para"/>
    <w:pPr>
      <w:tabs>
        <w:tab w:val="right" w:leader="dot" w:pos="8640"/>
      </w:tabs>
      <w:spacing w:before="0"/>
    </w:pPr>
    <w:rPr>
      <w:i/>
      <w:sz w:val="18"/>
    </w:rPr>
  </w:style>
  <w:style w:type="paragraph" w:styleId="TableofFigures">
    <w:name w:val="table of figures"/>
    <w:basedOn w:val="Normal"/>
    <w:next w:val="Para"/>
    <w:semiHidden/>
    <w:pPr>
      <w:tabs>
        <w:tab w:val="right" w:leader="dot" w:pos="9000"/>
      </w:tabs>
      <w:ind w:left="1138" w:hanging="1138"/>
    </w:pPr>
  </w:style>
  <w:style w:type="paragraph" w:customStyle="1" w:styleId="Tbltoken">
    <w:name w:val="Tbl token"/>
    <w:basedOn w:val="row8"/>
    <w:pPr>
      <w:spacing w:before="60" w:after="60"/>
    </w:pPr>
  </w:style>
  <w:style w:type="paragraph" w:customStyle="1" w:styleId="tblnote8">
    <w:name w:val="tbl:note8"/>
    <w:basedOn w:val="Normal"/>
    <w:pPr>
      <w:tabs>
        <w:tab w:val="left" w:pos="518"/>
      </w:tabs>
      <w:ind w:left="518" w:hanging="518"/>
    </w:pPr>
    <w:rPr>
      <w:rFonts w:ascii="Courier New" w:hAnsi="Courier New"/>
      <w:sz w:val="16"/>
    </w:rPr>
  </w:style>
  <w:style w:type="paragraph" w:customStyle="1" w:styleId="tblsource8">
    <w:name w:val="tbl:source8"/>
    <w:basedOn w:val="Normal"/>
    <w:pPr>
      <w:tabs>
        <w:tab w:val="right" w:pos="12600"/>
      </w:tabs>
    </w:pPr>
    <w:rPr>
      <w:rFonts w:ascii="Courier New" w:hAnsi="Courier New"/>
      <w:i/>
      <w:sz w:val="16"/>
    </w:rPr>
  </w:style>
  <w:style w:type="paragraph" w:customStyle="1" w:styleId="Tbleottitle">
    <w:name w:val="Tbl eottitle"/>
    <w:basedOn w:val="row8"/>
    <w:pPr>
      <w:spacing w:before="60" w:after="60"/>
    </w:pPr>
  </w:style>
  <w:style w:type="paragraph" w:customStyle="1" w:styleId="Figtoken">
    <w:name w:val="Fig token"/>
    <w:basedOn w:val="row8"/>
    <w:pPr>
      <w:spacing w:before="60" w:after="60"/>
    </w:pPr>
  </w:style>
  <w:style w:type="paragraph" w:customStyle="1" w:styleId="Figeottitle">
    <w:name w:val="Fig eottitle"/>
    <w:basedOn w:val="row8"/>
    <w:pPr>
      <w:spacing w:before="60" w:after="60"/>
    </w:pPr>
  </w:style>
  <w:style w:type="character" w:styleId="LineNumber">
    <w:name w:val="line number"/>
    <w:basedOn w:val="DefaultParagraphFont"/>
  </w:style>
  <w:style w:type="paragraph" w:customStyle="1" w:styleId="figcaption8">
    <w:name w:val="fig:caption8"/>
    <w:basedOn w:val="tblcaption8"/>
  </w:style>
  <w:style w:type="paragraph" w:customStyle="1" w:styleId="Reftoken">
    <w:name w:val="Ref token"/>
    <w:basedOn w:val="Para"/>
    <w:next w:val="Refauthor"/>
    <w:pPr>
      <w:spacing w:before="0"/>
    </w:pPr>
    <w:rPr>
      <w:i/>
    </w:rPr>
  </w:style>
  <w:style w:type="paragraph" w:customStyle="1" w:styleId="Refauthor">
    <w:name w:val="Ref author"/>
    <w:basedOn w:val="Reftoken"/>
    <w:next w:val="Reftitle"/>
    <w:pPr>
      <w:ind w:left="202" w:hanging="202"/>
    </w:pPr>
    <w:rPr>
      <w:i w:val="0"/>
    </w:rPr>
  </w:style>
  <w:style w:type="paragraph" w:customStyle="1" w:styleId="Reftitle">
    <w:name w:val="Ref title"/>
    <w:basedOn w:val="Refauthor"/>
    <w:next w:val="Refreport"/>
  </w:style>
  <w:style w:type="paragraph" w:customStyle="1" w:styleId="Refreport">
    <w:name w:val="Ref report"/>
    <w:basedOn w:val="Refauthor"/>
    <w:next w:val="Para"/>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BLANK02.DOT</Template>
  <TotalTime>0</TotalTime>
  <Pages>5</Pages>
  <Words>2560</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Hepatic presentation B</vt:lpstr>
    </vt:vector>
  </TitlesOfParts>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Hepatic presentation B</dc:title>
  <dc:subject/>
  <dc:creator>Douglas Fiebig &amp; Neil Garrett</dc:creator>
  <cp:keywords/>
  <dc:description>EMWA</dc:description>
  <cp:lastModifiedBy>Fiebig, Douglas [Trilogy]</cp:lastModifiedBy>
  <cp:revision>3</cp:revision>
  <cp:lastPrinted>1899-12-31T23:00:00Z</cp:lastPrinted>
  <dcterms:created xsi:type="dcterms:W3CDTF">2021-03-08T09:12:00Z</dcterms:created>
  <dcterms:modified xsi:type="dcterms:W3CDTF">2021-03-08T09:12:00Z</dcterms:modified>
</cp:coreProperties>
</file>